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0"/>
        <w:gridCol w:w="1926"/>
        <w:gridCol w:w="825"/>
        <w:gridCol w:w="742"/>
        <w:gridCol w:w="946"/>
        <w:gridCol w:w="810"/>
        <w:gridCol w:w="679"/>
        <w:gridCol w:w="983"/>
        <w:gridCol w:w="1002"/>
        <w:gridCol w:w="601"/>
        <w:gridCol w:w="688"/>
        <w:gridCol w:w="945"/>
        <w:gridCol w:w="787"/>
        <w:gridCol w:w="945"/>
        <w:gridCol w:w="790"/>
        <w:gridCol w:w="822"/>
        <w:gridCol w:w="789"/>
        <w:gridCol w:w="794"/>
      </w:tblGrid>
      <w:tr w:rsidR="00383DFA" w:rsidRPr="00FE4898" w:rsidTr="00FE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4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sz w:val="24"/>
                <w:szCs w:val="24"/>
                <w:rtl/>
              </w:rPr>
              <w:t>قوانين تحريمي مصوب کنگره امريکا عليه ايران</w:t>
            </w:r>
          </w:p>
        </w:tc>
      </w:tr>
      <w:tr w:rsidR="00FE4898" w:rsidRPr="00FE4898" w:rsidTr="00F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4898" w:rsidRPr="00FE4898" w:rsidRDefault="00FE4898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</w:p>
        </w:tc>
        <w:tc>
          <w:tcPr>
            <w:tcW w:w="31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4898" w:rsidRPr="00FE4898" w:rsidRDefault="00FE4898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b/>
                <w:bCs/>
                <w:sz w:val="24"/>
                <w:szCs w:val="24"/>
                <w:rtl/>
              </w:rPr>
              <w:t>علت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4898">
              <w:rPr>
                <w:rFonts w:ascii="Tahoma" w:hAnsi="Tahoma" w:cs="Mitra"/>
                <w:b/>
                <w:bCs/>
                <w:sz w:val="24"/>
                <w:szCs w:val="24"/>
                <w:rtl/>
              </w:rPr>
              <w:t>تحريم</w:t>
            </w:r>
          </w:p>
        </w:tc>
        <w:tc>
          <w:tcPr>
            <w:tcW w:w="6741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4898" w:rsidRPr="00FE4898" w:rsidRDefault="00FE4898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موضوع تحريم</w:t>
            </w:r>
          </w:p>
        </w:tc>
        <w:tc>
          <w:tcPr>
            <w:tcW w:w="2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4898" w:rsidRPr="00FE4898" w:rsidRDefault="00FE4898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</w:tr>
      <w:tr w:rsidR="00FE4898" w:rsidRPr="00FE4898" w:rsidTr="00FE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  <w:rtl/>
              </w:rPr>
              <w:t>رديف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b/>
                <w:bCs/>
                <w:sz w:val="24"/>
                <w:szCs w:val="24"/>
                <w:rtl/>
              </w:rPr>
              <w:t>قانون مربوطه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b/>
                <w:bCs/>
                <w:sz w:val="24"/>
                <w:szCs w:val="24"/>
                <w:rtl/>
              </w:rPr>
              <w:t>زمان تصويب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عدم اشاعه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تروريسم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حقوق بشر</w:t>
            </w: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موارد ديگر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تسليحات متعارف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هسته اي موشکي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مالي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انرژي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ممنوعيت مسافرت</w:t>
            </w: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بلوکه کردن اموال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ممنوعيت تجارت</w:t>
            </w: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موارد ديگر</w:t>
            </w: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FE48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تاثير بر اقتصاد 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امکان لغو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امکان تعليق</w:t>
            </w:r>
          </w:p>
        </w:tc>
      </w:tr>
      <w:tr w:rsidR="00FE4898" w:rsidRPr="00FE4898" w:rsidTr="00F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7149F5" w:rsidRDefault="00383DFA" w:rsidP="0054365F">
            <w:pPr>
              <w:bidi/>
              <w:jc w:val="center"/>
              <w:rPr>
                <w:rFonts w:ascii="Tahoma" w:hAnsi="Tahoma" w:cs="Mitra"/>
                <w:color w:val="FF0000"/>
                <w:sz w:val="24"/>
                <w:szCs w:val="24"/>
                <w:highlight w:val="yellow"/>
                <w:rtl/>
              </w:rPr>
            </w:pPr>
            <w:bookmarkStart w:id="0" w:name="_GoBack"/>
            <w:bookmarkEnd w:id="0"/>
            <w:r w:rsidRPr="007149F5">
              <w:rPr>
                <w:rFonts w:ascii="Tahoma" w:hAnsi="Tahoma" w:cs="Mitra"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7149F5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بودجه دفاعي 1993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7149F5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1992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7149F5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highlight w:val="yellow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383DFA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کم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3DFA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سخت</w:t>
            </w:r>
          </w:p>
        </w:tc>
      </w:tr>
      <w:tr w:rsidR="00FE4898" w:rsidRPr="00FE4898" w:rsidTr="00FE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قانون ايسا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ز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اد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سخت</w:t>
            </w:r>
          </w:p>
        </w:tc>
      </w:tr>
      <w:tr w:rsidR="00FE4898" w:rsidRPr="00FE4898" w:rsidTr="00F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bidi/>
              <w:jc w:val="center"/>
              <w:rPr>
                <w:rFonts w:ascii="Tahoma" w:hAnsi="Tahoma" w:cs="Mitra"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/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قانون عدم اشاعه ايران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2000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149F5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highlight w:val="yellow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کم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FE4898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816114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816114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816114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FE4898" w:rsidRPr="00FE4898" w:rsidTr="00FE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حمايت از آزادي ايران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FE4898" w:rsidRPr="00FE4898" w:rsidTr="00F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FE4898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قانون </w:t>
            </w:r>
            <w:r w:rsidR="0054365F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سيسادا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ز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اد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سخت</w:t>
            </w:r>
          </w:p>
        </w:tc>
      </w:tr>
      <w:tr w:rsidR="00FE4898" w:rsidRPr="00FE4898" w:rsidTr="00FE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bidi/>
              <w:jc w:val="center"/>
              <w:rPr>
                <w:rFonts w:ascii="Tahoma" w:hAnsi="Tahoma" w:cs="Mitra"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/>
                <w:color w:val="FF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عدم اشاعه ايران سوريه و کره شمالي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7149F5">
              <w:rPr>
                <w:rFonts w:ascii="Tahoma" w:hAnsi="Tahoma" w:cs="Mitra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2011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7149F5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149F5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highlight w:val="yellow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کم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</w:tr>
      <w:tr w:rsidR="00FE4898" w:rsidRPr="00FE4898" w:rsidTr="00F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بخش 311 قانون ميهن پرستي امريکا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ز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اد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آسان</w:t>
            </w:r>
          </w:p>
        </w:tc>
      </w:tr>
      <w:tr w:rsidR="00FE4898" w:rsidRPr="00FE4898" w:rsidTr="00FE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بودجه دفاعي 2012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ز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اد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سخت</w:t>
            </w:r>
          </w:p>
        </w:tc>
      </w:tr>
      <w:tr w:rsidR="00FE4898" w:rsidRPr="00FE4898" w:rsidTr="00F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کاهش تهديد ايران و حقوق بشر سوريه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ز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اد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سخت</w:t>
            </w:r>
          </w:p>
        </w:tc>
      </w:tr>
      <w:tr w:rsidR="00FE4898" w:rsidRPr="00FE4898" w:rsidTr="00FE4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rPr>
                <w:rFonts w:ascii="Tahoma" w:hAnsi="Tahoma" w:cs="Mitra"/>
                <w:sz w:val="24"/>
                <w:szCs w:val="24"/>
                <w:rtl/>
              </w:rPr>
            </w:pPr>
            <w:r w:rsidRPr="00FE4898">
              <w:rPr>
                <w:rFonts w:ascii="Tahoma" w:hAnsi="Tahoma" w:cs="Mitra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بودجه دفاعي 2013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●</w:t>
            </w:r>
          </w:p>
        </w:tc>
        <w:tc>
          <w:tcPr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FE48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ز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اد</w:t>
            </w:r>
          </w:p>
        </w:tc>
        <w:tc>
          <w:tcPr>
            <w:tcW w:w="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خ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ل</w:t>
            </w:r>
            <w:r w:rsidR="00FE4898"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ي</w:t>
            </w: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 xml:space="preserve"> سخت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365F" w:rsidRPr="00FE4898" w:rsidRDefault="0054365F" w:rsidP="0054365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Mitra"/>
                <w:b/>
                <w:bCs/>
                <w:sz w:val="24"/>
                <w:szCs w:val="24"/>
                <w:rtl/>
              </w:rPr>
            </w:pPr>
            <w:r w:rsidRPr="00FE4898">
              <w:rPr>
                <w:rFonts w:ascii="Tahoma" w:hAnsi="Tahoma" w:cs="Mitra" w:hint="cs"/>
                <w:b/>
                <w:bCs/>
                <w:sz w:val="24"/>
                <w:szCs w:val="24"/>
                <w:rtl/>
              </w:rPr>
              <w:t>سخت</w:t>
            </w:r>
          </w:p>
        </w:tc>
      </w:tr>
    </w:tbl>
    <w:p w:rsidR="009E1B65" w:rsidRDefault="007149F5" w:rsidP="0054365F">
      <w:pPr>
        <w:bidi/>
        <w:jc w:val="center"/>
        <w:rPr>
          <w:rFonts w:cs="Mitra" w:hint="cs"/>
          <w:rtl/>
        </w:rPr>
      </w:pPr>
    </w:p>
    <w:p w:rsidR="007149F5" w:rsidRDefault="007149F5" w:rsidP="007149F5">
      <w:pPr>
        <w:bidi/>
        <w:jc w:val="center"/>
        <w:rPr>
          <w:rFonts w:cs="Mitra" w:hint="cs"/>
          <w:rtl/>
        </w:rPr>
      </w:pPr>
    </w:p>
    <w:p w:rsidR="007149F5" w:rsidRDefault="007149F5" w:rsidP="007149F5">
      <w:pPr>
        <w:bidi/>
        <w:spacing w:before="240" w:after="240"/>
        <w:ind w:firstLine="720"/>
        <w:jc w:val="both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بند مربوط به رفع تحریم ها در توافقنامه ژنو:</w:t>
      </w:r>
    </w:p>
    <w:p w:rsidR="007149F5" w:rsidRPr="00F95EC6" w:rsidRDefault="007149F5" w:rsidP="007149F5">
      <w:pPr>
        <w:bidi/>
        <w:spacing w:before="240" w:after="240"/>
        <w:ind w:firstLine="720"/>
        <w:jc w:val="both"/>
        <w:rPr>
          <w:rFonts w:cs="B Lotus" w:hint="cs"/>
          <w:sz w:val="32"/>
          <w:szCs w:val="32"/>
          <w:rtl/>
          <w:lang w:bidi="fa-IR"/>
        </w:rPr>
      </w:pPr>
      <w:r w:rsidRPr="00F95EC6">
        <w:rPr>
          <w:rFonts w:cs="B Lotus" w:hint="cs"/>
          <w:sz w:val="32"/>
          <w:szCs w:val="32"/>
          <w:rtl/>
          <w:lang w:bidi="fa-IR"/>
        </w:rPr>
        <w:t>«</w:t>
      </w:r>
      <w:r w:rsidRPr="00F95EC6">
        <w:rPr>
          <w:rFonts w:cs="B Lotus" w:hint="cs"/>
          <w:sz w:val="32"/>
          <w:szCs w:val="32"/>
          <w:rtl/>
        </w:rPr>
        <w:t>بطور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همه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جانبه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تحريم‌هاي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هسته‌اي</w:t>
      </w:r>
      <w:r w:rsidRPr="00F95EC6">
        <w:rPr>
          <w:rFonts w:cs="B Lotus"/>
          <w:color w:val="FF0000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شوراي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امنيت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سازمان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ملل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متحد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و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تحريم‌هاي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چندجانبه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و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تحريم‌هاي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ملي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را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برداشته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و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از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جمله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گام‌هايي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براي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دسترسي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به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حوزه‌هاي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تجاري،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فنآوري،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مالي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و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انرژي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را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بر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مبناي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يک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برنامه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تنظيمي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که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در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خصوص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آن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توافق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به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عمل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خواهد</w:t>
      </w:r>
      <w:r w:rsidRPr="00F95EC6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F95EC6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آمد</w:t>
      </w:r>
      <w:r w:rsidRPr="00F95EC6">
        <w:rPr>
          <w:rFonts w:cs="B Lotus"/>
          <w:color w:val="FF0000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را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اتخاذ</w:t>
      </w:r>
      <w:r w:rsidRPr="00F95EC6">
        <w:rPr>
          <w:rFonts w:cs="B Lotus"/>
          <w:sz w:val="32"/>
          <w:szCs w:val="32"/>
          <w:rtl/>
        </w:rPr>
        <w:t xml:space="preserve"> </w:t>
      </w:r>
      <w:r w:rsidRPr="00F95EC6">
        <w:rPr>
          <w:rFonts w:cs="B Lotus" w:hint="cs"/>
          <w:sz w:val="32"/>
          <w:szCs w:val="32"/>
          <w:rtl/>
        </w:rPr>
        <w:t>نمايد</w:t>
      </w:r>
      <w:r w:rsidRPr="00F95EC6">
        <w:rPr>
          <w:rFonts w:cs="B Lotus"/>
          <w:sz w:val="32"/>
          <w:szCs w:val="32"/>
        </w:rPr>
        <w:t>.</w:t>
      </w:r>
      <w:r w:rsidRPr="00F95EC6">
        <w:rPr>
          <w:rFonts w:cs="B Lotus" w:hint="cs"/>
          <w:sz w:val="32"/>
          <w:szCs w:val="32"/>
          <w:rtl/>
          <w:lang w:bidi="fa-IR"/>
        </w:rPr>
        <w:t>»</w:t>
      </w:r>
    </w:p>
    <w:p w:rsidR="007149F5" w:rsidRPr="00F95EC6" w:rsidRDefault="007149F5" w:rsidP="007149F5">
      <w:pPr>
        <w:bidi/>
        <w:spacing w:before="240" w:after="240"/>
        <w:ind w:firstLine="720"/>
        <w:jc w:val="both"/>
        <w:rPr>
          <w:rFonts w:cs="B Lotus" w:hint="cs"/>
          <w:sz w:val="32"/>
          <w:szCs w:val="32"/>
          <w:rtl/>
        </w:rPr>
      </w:pPr>
      <w:r w:rsidRPr="00F95EC6">
        <w:rPr>
          <w:rFonts w:cs="B Lotus" w:hint="cs"/>
          <w:sz w:val="32"/>
          <w:szCs w:val="32"/>
          <w:rtl/>
          <w:lang w:bidi="fa-IR"/>
        </w:rPr>
        <w:t xml:space="preserve"> از ده مورد تحریمی که تا سال 2013 توسط کنگره امریکا علیه ایران تصویب شده است تنها سه موردی که در جدول ب</w:t>
      </w:r>
      <w:r>
        <w:rPr>
          <w:rFonts w:cs="B Lotus" w:hint="cs"/>
          <w:sz w:val="32"/>
          <w:szCs w:val="32"/>
          <w:rtl/>
          <w:lang w:bidi="fa-IR"/>
        </w:rPr>
        <w:t>ا</w:t>
      </w:r>
      <w:r w:rsidRPr="00F95EC6">
        <w:rPr>
          <w:rFonts w:cs="B Lotus" w:hint="cs"/>
          <w:sz w:val="32"/>
          <w:szCs w:val="32"/>
          <w:rtl/>
          <w:lang w:bidi="fa-IR"/>
        </w:rPr>
        <w:t xml:space="preserve"> رنگ زرد مشخص شده مربوط به عدم اشاعه سلاحهای کشتار جمعی می باشد که سلاحهای هسته ای یکی از آنها می باشد. بنابراین بر اساس توافق ژنو</w:t>
      </w:r>
      <w:r>
        <w:rPr>
          <w:rFonts w:cs="B Lotus" w:hint="cs"/>
          <w:sz w:val="32"/>
          <w:szCs w:val="32"/>
          <w:rtl/>
          <w:lang w:bidi="fa-IR"/>
        </w:rPr>
        <w:t>،</w:t>
      </w:r>
      <w:r w:rsidRPr="00F95EC6">
        <w:rPr>
          <w:rFonts w:cs="B Lotus" w:hint="cs"/>
          <w:sz w:val="32"/>
          <w:szCs w:val="32"/>
          <w:rtl/>
          <w:lang w:bidi="fa-IR"/>
        </w:rPr>
        <w:t xml:space="preserve"> تنها سه تحریم فوق از جمله تحریم های مرتبط با هسته ای  است و ممکن است لغو شود.</w:t>
      </w:r>
    </w:p>
    <w:p w:rsidR="007149F5" w:rsidRPr="00B44976" w:rsidRDefault="007149F5" w:rsidP="007149F5">
      <w:pPr>
        <w:bidi/>
        <w:jc w:val="center"/>
        <w:rPr>
          <w:rFonts w:cs="Mitra"/>
        </w:rPr>
      </w:pPr>
    </w:p>
    <w:sectPr w:rsidR="007149F5" w:rsidRPr="00B44976" w:rsidSect="00383DFA">
      <w:pgSz w:w="16839" w:h="11907" w:orient="landscape" w:code="9"/>
      <w:pgMar w:top="288" w:right="288" w:bottom="288" w:left="2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1"/>
    <w:rsid w:val="00186D4E"/>
    <w:rsid w:val="002D0E2F"/>
    <w:rsid w:val="00365A27"/>
    <w:rsid w:val="00383DFA"/>
    <w:rsid w:val="003C32F0"/>
    <w:rsid w:val="0054365F"/>
    <w:rsid w:val="007149F5"/>
    <w:rsid w:val="00816114"/>
    <w:rsid w:val="00836BE9"/>
    <w:rsid w:val="008922DA"/>
    <w:rsid w:val="00AE1C9D"/>
    <w:rsid w:val="00B44976"/>
    <w:rsid w:val="00D45411"/>
    <w:rsid w:val="00DE5A16"/>
    <w:rsid w:val="00EC621A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2014-12-03T11:20:00Z</dcterms:created>
  <dcterms:modified xsi:type="dcterms:W3CDTF">2014-12-18T15:49:00Z</dcterms:modified>
</cp:coreProperties>
</file>